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37" w:rsidRPr="00743337" w:rsidRDefault="00743337" w:rsidP="00743337">
      <w:pPr>
        <w:rPr>
          <w:b/>
        </w:rPr>
      </w:pPr>
      <w:r w:rsidRPr="00743337">
        <w:rPr>
          <w:b/>
        </w:rPr>
        <w:t>Pre-application Advice Report</w:t>
      </w:r>
    </w:p>
    <w:p w:rsidR="00743337" w:rsidRPr="00743337" w:rsidRDefault="00743337" w:rsidP="00743337">
      <w:pPr>
        <w:rPr>
          <w:b/>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4539"/>
      </w:tblGrid>
      <w:tr w:rsidR="00743337" w:rsidRPr="00743337" w:rsidTr="00F11B79">
        <w:tc>
          <w:tcPr>
            <w:tcW w:w="5103" w:type="dxa"/>
            <w:tcBorders>
              <w:top w:val="single" w:sz="4" w:space="0" w:color="auto"/>
              <w:left w:val="single" w:sz="4" w:space="0" w:color="auto"/>
              <w:bottom w:val="single" w:sz="4" w:space="0" w:color="auto"/>
              <w:right w:val="single" w:sz="4" w:space="0" w:color="auto"/>
            </w:tcBorders>
            <w:hideMark/>
          </w:tcPr>
          <w:p w:rsidR="00743337" w:rsidRPr="00743337" w:rsidRDefault="00743337" w:rsidP="00743337">
            <w:pPr>
              <w:rPr>
                <w:b/>
                <w:bCs/>
              </w:rPr>
            </w:pPr>
            <w:r w:rsidRPr="00743337">
              <w:rPr>
                <w:b/>
                <w:bCs/>
              </w:rPr>
              <w:t>Site Address:</w:t>
            </w:r>
          </w:p>
          <w:p w:rsidR="00743337" w:rsidRPr="00743337" w:rsidRDefault="00F261FB" w:rsidP="00957BD2">
            <w:proofErr w:type="spellStart"/>
            <w:r>
              <w:t>Owlthorpe</w:t>
            </w:r>
            <w:proofErr w:type="spellEnd"/>
            <w:r>
              <w:t xml:space="preserve"> E updated layout</w:t>
            </w:r>
          </w:p>
        </w:tc>
        <w:tc>
          <w:tcPr>
            <w:tcW w:w="4536" w:type="dxa"/>
            <w:tcBorders>
              <w:top w:val="single" w:sz="4" w:space="0" w:color="auto"/>
              <w:left w:val="single" w:sz="4" w:space="0" w:color="auto"/>
              <w:bottom w:val="single" w:sz="4" w:space="0" w:color="auto"/>
              <w:right w:val="single" w:sz="4" w:space="0" w:color="auto"/>
            </w:tcBorders>
          </w:tcPr>
          <w:p w:rsidR="00743337" w:rsidRPr="00743337" w:rsidRDefault="00743337" w:rsidP="00743337">
            <w:pPr>
              <w:rPr>
                <w:b/>
                <w:bCs/>
              </w:rPr>
            </w:pPr>
            <w:r w:rsidRPr="00743337">
              <w:rPr>
                <w:b/>
                <w:bCs/>
              </w:rPr>
              <w:t>Pre-app enquiry ref:</w:t>
            </w:r>
          </w:p>
          <w:p w:rsidR="00743337" w:rsidRPr="00632EE2" w:rsidRDefault="00944499" w:rsidP="00F261FB">
            <w:pPr>
              <w:rPr>
                <w:b/>
              </w:rPr>
            </w:pPr>
            <w:r>
              <w:rPr>
                <w:b/>
              </w:rPr>
              <w:t>19/</w:t>
            </w:r>
            <w:r w:rsidR="00A46EFB">
              <w:rPr>
                <w:b/>
              </w:rPr>
              <w:t>0</w:t>
            </w:r>
            <w:r w:rsidR="00F261FB">
              <w:rPr>
                <w:b/>
              </w:rPr>
              <w:t>2510</w:t>
            </w:r>
            <w:r>
              <w:rPr>
                <w:b/>
              </w:rPr>
              <w:t>/PREAPP</w:t>
            </w: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743337" w:rsidRDefault="00743337" w:rsidP="00743337">
            <w:pPr>
              <w:numPr>
                <w:ilvl w:val="0"/>
                <w:numId w:val="1"/>
              </w:numPr>
              <w:rPr>
                <w:b/>
              </w:rPr>
            </w:pPr>
            <w:r w:rsidRPr="00743337">
              <w:rPr>
                <w:b/>
              </w:rPr>
              <w:t xml:space="preserve">We understand your proposal to be.... </w:t>
            </w:r>
          </w:p>
          <w:p w:rsidR="00743337" w:rsidRPr="00743337" w:rsidRDefault="00957BD2" w:rsidP="00F261FB">
            <w:r>
              <w:t>Re</w:t>
            </w:r>
            <w:r w:rsidR="00F261FB">
              <w:t>vised layout Option 2 – 007_02_ Rev G</w:t>
            </w: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743337" w:rsidRPr="00743337" w:rsidRDefault="00743337" w:rsidP="00743337">
            <w:pPr>
              <w:numPr>
                <w:ilvl w:val="0"/>
                <w:numId w:val="1"/>
              </w:numPr>
              <w:rPr>
                <w:b/>
              </w:rPr>
            </w:pPr>
            <w:r w:rsidRPr="00743337">
              <w:rPr>
                <w:b/>
              </w:rPr>
              <w:t>Advice</w:t>
            </w:r>
            <w:r w:rsidRPr="00743337">
              <w:rPr>
                <w:b/>
                <w:vertAlign w:val="superscript"/>
              </w:rPr>
              <w:footnoteReference w:id="1"/>
            </w:r>
          </w:p>
          <w:p w:rsidR="00743337" w:rsidRDefault="00743337" w:rsidP="00743337">
            <w:pPr>
              <w:rPr>
                <w:b/>
              </w:rPr>
            </w:pPr>
            <w:r w:rsidRPr="00632EE2">
              <w:rPr>
                <w:b/>
              </w:rPr>
              <w:t xml:space="preserve">In this section we will say what we think about your proposal. This will include our view about the likelihood of permission being granted and what might be done to improve the prospects, where relevant. </w:t>
            </w:r>
          </w:p>
          <w:p w:rsidR="00F261FB" w:rsidRDefault="00F261FB" w:rsidP="00743337">
            <w:pPr>
              <w:rPr>
                <w:b/>
              </w:rPr>
            </w:pPr>
          </w:p>
          <w:p w:rsidR="00F261FB" w:rsidRPr="005A571A" w:rsidRDefault="00F261FB" w:rsidP="00743337">
            <w:r w:rsidRPr="005A571A">
              <w:t>The revised layout has addressed some of the comments previously made</w:t>
            </w:r>
            <w:r w:rsidR="005A571A" w:rsidRPr="005A571A">
              <w:t xml:space="preserve"> on 11.6</w:t>
            </w:r>
            <w:r w:rsidRPr="005A571A">
              <w:t xml:space="preserve"> but we would recommend that the following points are given</w:t>
            </w:r>
            <w:r w:rsidR="005A571A" w:rsidRPr="005A571A">
              <w:t xml:space="preserve"> further consideration</w:t>
            </w:r>
          </w:p>
          <w:p w:rsidR="00F261FB" w:rsidRPr="00F261FB" w:rsidRDefault="00F261FB" w:rsidP="00F261FB">
            <w:pPr>
              <w:numPr>
                <w:ilvl w:val="0"/>
                <w:numId w:val="7"/>
              </w:numPr>
            </w:pPr>
            <w:r w:rsidRPr="00F261FB">
              <w:t>Woodland edge</w:t>
            </w:r>
          </w:p>
          <w:p w:rsidR="00F261FB" w:rsidRPr="00F261FB" w:rsidRDefault="005A571A" w:rsidP="00F261FB">
            <w:r>
              <w:t>The layout appears t</w:t>
            </w:r>
            <w:r w:rsidR="00F261FB" w:rsidRPr="00F261FB">
              <w:t>oo loose as currently proposed, and has a lot of ‘left over’ green space</w:t>
            </w:r>
            <w:r>
              <w:t>. We</w:t>
            </w:r>
            <w:r w:rsidR="00F261FB" w:rsidRPr="00F261FB">
              <w:t xml:space="preserve"> ac</w:t>
            </w:r>
            <w:r>
              <w:t xml:space="preserve">knowledge </w:t>
            </w:r>
            <w:r w:rsidR="00F261FB" w:rsidRPr="00F261FB">
              <w:t>the setback required-although th</w:t>
            </w:r>
            <w:r>
              <w:t>e</w:t>
            </w:r>
            <w:r w:rsidR="00F261FB" w:rsidRPr="00F261FB">
              <w:t xml:space="preserve"> plan needs to show more</w:t>
            </w:r>
            <w:r>
              <w:t xml:space="preserve"> clearly where the 15 M line is located.  A</w:t>
            </w:r>
            <w:r w:rsidR="00F261FB" w:rsidRPr="00F261FB">
              <w:t xml:space="preserve"> response</w:t>
            </w:r>
            <w:r>
              <w:t xml:space="preserve"> could</w:t>
            </w:r>
            <w:r w:rsidR="00F261FB" w:rsidRPr="00F261FB">
              <w:t xml:space="preserve"> be to have a drive/ road along the woodland edge</w:t>
            </w:r>
            <w:r>
              <w:t xml:space="preserve"> outside the 15m line</w:t>
            </w:r>
            <w:r w:rsidR="00F261FB" w:rsidRPr="00F261FB">
              <w:t xml:space="preserve"> as achieved in other locations- for example Norfolk park housing company sites, as was illustrated in the planning brief as an option. Introducing this along with adjusting the main access road will allow for a fuller cluster of development.  </w:t>
            </w:r>
          </w:p>
          <w:p w:rsidR="00F261FB" w:rsidRPr="00F261FB" w:rsidRDefault="00F261FB" w:rsidP="00F261FB">
            <w:r w:rsidRPr="00F261FB">
              <w:rPr>
                <w:noProof/>
                <w:lang w:eastAsia="en-GB"/>
              </w:rPr>
              <w:drawing>
                <wp:inline distT="0" distB="0" distL="0" distR="0">
                  <wp:extent cx="4587875" cy="2083435"/>
                  <wp:effectExtent l="0" t="0" r="3175" b="0"/>
                  <wp:docPr id="12" name="Picture 12" descr="cid:image003.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3.jpg@01D53333.00B295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875" cy="2083435"/>
                          </a:xfrm>
                          <a:prstGeom prst="rect">
                            <a:avLst/>
                          </a:prstGeom>
                          <a:noFill/>
                          <a:ln>
                            <a:noFill/>
                          </a:ln>
                        </pic:spPr>
                      </pic:pic>
                    </a:graphicData>
                  </a:graphic>
                </wp:inline>
              </w:drawing>
            </w:r>
            <w:r w:rsidRPr="00F261FB">
              <w:t> </w:t>
            </w:r>
            <w:r w:rsidRPr="00F261FB">
              <w:rPr>
                <w:noProof/>
                <w:lang w:eastAsia="en-GB"/>
              </w:rPr>
              <w:lastRenderedPageBreak/>
              <w:drawing>
                <wp:inline distT="0" distB="0" distL="0" distR="0">
                  <wp:extent cx="5208270" cy="2218690"/>
                  <wp:effectExtent l="0" t="0" r="0" b="0"/>
                  <wp:docPr id="11" name="Picture 11" descr="cid:image005.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5.jpg@01D53333.00B29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8270" cy="2218690"/>
                          </a:xfrm>
                          <a:prstGeom prst="rect">
                            <a:avLst/>
                          </a:prstGeom>
                          <a:noFill/>
                          <a:ln>
                            <a:noFill/>
                          </a:ln>
                        </pic:spPr>
                      </pic:pic>
                    </a:graphicData>
                  </a:graphic>
                </wp:inline>
              </w:drawing>
            </w:r>
            <w:r w:rsidRPr="00F261FB">
              <w:t> </w:t>
            </w:r>
            <w:r w:rsidRPr="00F261FB">
              <w:rPr>
                <w:noProof/>
                <w:lang w:eastAsia="en-GB"/>
              </w:rPr>
              <w:drawing>
                <wp:inline distT="0" distB="0" distL="0" distR="0">
                  <wp:extent cx="1948069" cy="1858414"/>
                  <wp:effectExtent l="0" t="0" r="0" b="8890"/>
                  <wp:docPr id="10" name="Picture 10" descr="cid:image007.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7.jpg@01D53333.00B29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597" cy="1860825"/>
                          </a:xfrm>
                          <a:prstGeom prst="rect">
                            <a:avLst/>
                          </a:prstGeom>
                          <a:noFill/>
                          <a:ln>
                            <a:noFill/>
                          </a:ln>
                        </pic:spPr>
                      </pic:pic>
                    </a:graphicData>
                  </a:graphic>
                </wp:inline>
              </w:drawing>
            </w:r>
          </w:p>
          <w:p w:rsidR="00F261FB" w:rsidRPr="00F261FB" w:rsidRDefault="00F261FB" w:rsidP="00F261FB">
            <w:pPr>
              <w:rPr>
                <w:i/>
                <w:iCs/>
              </w:rPr>
            </w:pPr>
            <w:r w:rsidRPr="00F261FB">
              <w:t>                                                                                                                                                                </w:t>
            </w:r>
            <w:r w:rsidR="00AD154E">
              <w:t>                              </w:t>
            </w:r>
            <w:r w:rsidRPr="00F261FB">
              <w:rPr>
                <w:i/>
                <w:iCs/>
              </w:rPr>
              <w:t xml:space="preserve">Norfolk Park development, Sheffield </w:t>
            </w:r>
          </w:p>
          <w:p w:rsidR="00F261FB" w:rsidRPr="00F261FB" w:rsidRDefault="00F261FB" w:rsidP="00F261FB">
            <w:pPr>
              <w:numPr>
                <w:ilvl w:val="0"/>
                <w:numId w:val="7"/>
              </w:numPr>
            </w:pPr>
            <w:r w:rsidRPr="00F261FB">
              <w:t>Street hierarchy</w:t>
            </w:r>
            <w:r w:rsidR="00A722E9">
              <w:t xml:space="preserve"> and central node</w:t>
            </w:r>
            <w:r w:rsidRPr="00F261FB">
              <w:t xml:space="preserve">: </w:t>
            </w:r>
          </w:p>
          <w:p w:rsidR="00F261FB" w:rsidRPr="00F261FB" w:rsidRDefault="00F261FB" w:rsidP="00F261FB">
            <w:r w:rsidRPr="00F261FB">
              <w:t xml:space="preserve">Some tightening of built frontages is required along the main route as previously advised, for example the new road alignment could be changed to incorporate the bottom section of drive (that creates a strip of soft landscaping sandwiched by two roads!). </w:t>
            </w:r>
            <w:r w:rsidR="005A571A">
              <w:t>T</w:t>
            </w:r>
            <w:r w:rsidR="00A722E9">
              <w:t xml:space="preserve">his will make the open </w:t>
            </w:r>
            <w:proofErr w:type="gramStart"/>
            <w:r w:rsidR="00A722E9">
              <w:t>space</w:t>
            </w:r>
            <w:r w:rsidRPr="00F261FB">
              <w:t>,</w:t>
            </w:r>
            <w:proofErr w:type="gramEnd"/>
            <w:r w:rsidR="00A722E9">
              <w:t xml:space="preserve"> and the central node better defined </w:t>
            </w:r>
            <w:r w:rsidRPr="00F261FB">
              <w:t>and purposeful.  </w:t>
            </w:r>
          </w:p>
          <w:p w:rsidR="00F261FB" w:rsidRDefault="00F261FB" w:rsidP="00F261FB">
            <w:r w:rsidRPr="00F261FB">
              <w:rPr>
                <w:noProof/>
                <w:lang w:eastAsia="en-GB"/>
              </w:rPr>
              <w:drawing>
                <wp:inline distT="0" distB="0" distL="0" distR="0">
                  <wp:extent cx="2250219" cy="1180972"/>
                  <wp:effectExtent l="0" t="0" r="0" b="635"/>
                  <wp:docPr id="9" name="Picture 9" descr="cid:image009.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9.jpg@01D53333.00B295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0359" cy="1181046"/>
                          </a:xfrm>
                          <a:prstGeom prst="rect">
                            <a:avLst/>
                          </a:prstGeom>
                          <a:noFill/>
                          <a:ln>
                            <a:noFill/>
                          </a:ln>
                        </pic:spPr>
                      </pic:pic>
                    </a:graphicData>
                  </a:graphic>
                </wp:inline>
              </w:drawing>
            </w:r>
            <w:r w:rsidRPr="00F261FB">
              <w:t>      </w:t>
            </w:r>
            <w:r w:rsidRPr="00F261FB">
              <w:rPr>
                <w:noProof/>
                <w:lang w:eastAsia="en-GB"/>
              </w:rPr>
              <w:drawing>
                <wp:inline distT="0" distB="0" distL="0" distR="0">
                  <wp:extent cx="3498850" cy="1765300"/>
                  <wp:effectExtent l="0" t="0" r="6350" b="6350"/>
                  <wp:docPr id="8" name="Picture 8" descr="cid:image027.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27.jpg@01D53333.00B295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8850" cy="1765300"/>
                          </a:xfrm>
                          <a:prstGeom prst="rect">
                            <a:avLst/>
                          </a:prstGeom>
                          <a:noFill/>
                          <a:ln>
                            <a:noFill/>
                          </a:ln>
                        </pic:spPr>
                      </pic:pic>
                    </a:graphicData>
                  </a:graphic>
                </wp:inline>
              </w:drawing>
            </w:r>
          </w:p>
          <w:p w:rsidR="00AD154E" w:rsidRDefault="00AD154E" w:rsidP="00F261FB"/>
          <w:p w:rsidR="00AD154E" w:rsidRPr="00F261FB" w:rsidRDefault="00AD154E" w:rsidP="00F261FB"/>
          <w:p w:rsidR="00F261FB" w:rsidRPr="00F261FB" w:rsidRDefault="00F261FB" w:rsidP="00F261FB">
            <w:pPr>
              <w:numPr>
                <w:ilvl w:val="0"/>
                <w:numId w:val="7"/>
              </w:numPr>
            </w:pPr>
            <w:r w:rsidRPr="00F261FB">
              <w:lastRenderedPageBreak/>
              <w:t>Definition of spaces and nodes:</w:t>
            </w:r>
          </w:p>
          <w:p w:rsidR="00F261FB" w:rsidRPr="00F261FB" w:rsidRDefault="00F261FB" w:rsidP="00F261FB"/>
          <w:p w:rsidR="00F261FB" w:rsidRPr="00F261FB" w:rsidRDefault="00F261FB" w:rsidP="00F261FB">
            <w:r w:rsidRPr="00F261FB">
              <w:t xml:space="preserve">As mentioned previously there are areas within the layout that are weak, accepting the central spine can be adjusted as above, the other three </w:t>
            </w:r>
            <w:r w:rsidR="005A571A">
              <w:t>locations are as follows</w:t>
            </w:r>
            <w:r w:rsidRPr="00F261FB">
              <w:t xml:space="preserve">: </w:t>
            </w:r>
          </w:p>
          <w:p w:rsidR="00F261FB" w:rsidRPr="00F261FB" w:rsidRDefault="00F261FB" w:rsidP="00F261FB">
            <w:r w:rsidRPr="00F261FB">
              <w:rPr>
                <w:noProof/>
                <w:lang w:eastAsia="en-GB"/>
              </w:rPr>
              <w:drawing>
                <wp:inline distT="0" distB="0" distL="0" distR="0">
                  <wp:extent cx="2456815" cy="2115185"/>
                  <wp:effectExtent l="0" t="0" r="635" b="0"/>
                  <wp:docPr id="7" name="Picture 7" descr="cid:image016.png@01D5332F.D64AB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6.png@01D5332F.D64ABF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815" cy="2115185"/>
                          </a:xfrm>
                          <a:prstGeom prst="rect">
                            <a:avLst/>
                          </a:prstGeom>
                          <a:noFill/>
                          <a:ln>
                            <a:noFill/>
                          </a:ln>
                        </pic:spPr>
                      </pic:pic>
                    </a:graphicData>
                  </a:graphic>
                </wp:inline>
              </w:drawing>
            </w:r>
            <w:r w:rsidRPr="00F261FB">
              <w:t>   </w:t>
            </w:r>
            <w:r w:rsidRPr="00F261FB">
              <w:rPr>
                <w:noProof/>
                <w:lang w:eastAsia="en-GB"/>
              </w:rPr>
              <w:drawing>
                <wp:inline distT="0" distB="0" distL="0" distR="0">
                  <wp:extent cx="2703195" cy="2099310"/>
                  <wp:effectExtent l="0" t="0" r="1905" b="0"/>
                  <wp:docPr id="6" name="Picture 6" descr="cid:image028.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28.jpg@01D53333.00B295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3195" cy="2099310"/>
                          </a:xfrm>
                          <a:prstGeom prst="rect">
                            <a:avLst/>
                          </a:prstGeom>
                          <a:noFill/>
                          <a:ln>
                            <a:noFill/>
                          </a:ln>
                        </pic:spPr>
                      </pic:pic>
                    </a:graphicData>
                  </a:graphic>
                </wp:inline>
              </w:drawing>
            </w:r>
          </w:p>
          <w:p w:rsidR="00F261FB" w:rsidRPr="00F261FB" w:rsidRDefault="00F261FB" w:rsidP="00F261FB">
            <w:pPr>
              <w:rPr>
                <w:i/>
                <w:iCs/>
              </w:rPr>
            </w:pPr>
            <w:r w:rsidRPr="00F261FB">
              <w:rPr>
                <w:i/>
                <w:iCs/>
              </w:rPr>
              <w:t>Northern corner- do feel this needs to have a better response with development pulled as much forward as it can be and specific house type/ large house indicated.  </w:t>
            </w:r>
          </w:p>
          <w:p w:rsidR="00F261FB" w:rsidRPr="00F261FB" w:rsidRDefault="00F261FB" w:rsidP="00F261FB"/>
          <w:p w:rsidR="00F261FB" w:rsidRPr="00F261FB" w:rsidRDefault="00F261FB" w:rsidP="00F261FB">
            <w:r w:rsidRPr="00F261FB">
              <w:rPr>
                <w:noProof/>
                <w:lang w:eastAsia="en-GB"/>
              </w:rPr>
              <w:drawing>
                <wp:inline distT="0" distB="0" distL="0" distR="0">
                  <wp:extent cx="2851919" cy="1701579"/>
                  <wp:effectExtent l="0" t="0" r="5715" b="0"/>
                  <wp:docPr id="5" name="Picture 5" descr="cid:image019.png@01D5332F.D64AB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9.png@01D5332F.D64ABF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2040" cy="1701651"/>
                          </a:xfrm>
                          <a:prstGeom prst="rect">
                            <a:avLst/>
                          </a:prstGeom>
                          <a:noFill/>
                          <a:ln>
                            <a:noFill/>
                          </a:ln>
                        </pic:spPr>
                      </pic:pic>
                    </a:graphicData>
                  </a:graphic>
                </wp:inline>
              </w:drawing>
            </w:r>
            <w:r w:rsidRPr="00F261FB">
              <w:t>  </w:t>
            </w:r>
            <w:r w:rsidRPr="00F261FB">
              <w:rPr>
                <w:noProof/>
                <w:lang w:eastAsia="en-GB"/>
              </w:rPr>
              <w:drawing>
                <wp:inline distT="0" distB="0" distL="0" distR="0">
                  <wp:extent cx="2902207" cy="1871670"/>
                  <wp:effectExtent l="0" t="0" r="0" b="0"/>
                  <wp:docPr id="4" name="Picture 4" descr="cid:image029.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29.jpg@01D53333.00B295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330" cy="1871749"/>
                          </a:xfrm>
                          <a:prstGeom prst="rect">
                            <a:avLst/>
                          </a:prstGeom>
                          <a:noFill/>
                          <a:ln>
                            <a:noFill/>
                          </a:ln>
                        </pic:spPr>
                      </pic:pic>
                    </a:graphicData>
                  </a:graphic>
                </wp:inline>
              </w:drawing>
            </w:r>
          </w:p>
          <w:p w:rsidR="00F261FB" w:rsidRPr="00F261FB" w:rsidRDefault="00F261FB" w:rsidP="00F261FB"/>
          <w:p w:rsidR="00F261FB" w:rsidRPr="00F261FB" w:rsidRDefault="00F261FB" w:rsidP="00F261FB">
            <w:pPr>
              <w:rPr>
                <w:i/>
                <w:iCs/>
              </w:rPr>
            </w:pPr>
            <w:r w:rsidRPr="00F261FB">
              <w:rPr>
                <w:i/>
                <w:iCs/>
              </w:rPr>
              <w:t xml:space="preserve">Land south of the medical centre- accepting this will be built upon instead of open space now, the layout needs to respond better to the public footpath- with houses turned, boundary treatments provided to achieve this. </w:t>
            </w:r>
          </w:p>
          <w:p w:rsidR="00F261FB" w:rsidRPr="00F261FB" w:rsidRDefault="00F261FB" w:rsidP="00F261FB">
            <w:r w:rsidRPr="00F261FB">
              <w:lastRenderedPageBreak/>
              <w:t> </w:t>
            </w:r>
            <w:r w:rsidRPr="00F261FB">
              <w:rPr>
                <w:noProof/>
                <w:lang w:eastAsia="en-GB"/>
              </w:rPr>
              <w:drawing>
                <wp:inline distT="0" distB="0" distL="0" distR="0">
                  <wp:extent cx="2465070" cy="1605915"/>
                  <wp:effectExtent l="0" t="0" r="0" b="0"/>
                  <wp:docPr id="3" name="Picture 3" descr="cid:image030.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30.jpg@01D53333.00B295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5070" cy="1605915"/>
                          </a:xfrm>
                          <a:prstGeom prst="rect">
                            <a:avLst/>
                          </a:prstGeom>
                          <a:noFill/>
                          <a:ln>
                            <a:noFill/>
                          </a:ln>
                        </pic:spPr>
                      </pic:pic>
                    </a:graphicData>
                  </a:graphic>
                </wp:inline>
              </w:drawing>
            </w:r>
            <w:r w:rsidRPr="00F261FB">
              <w:t>  </w:t>
            </w:r>
            <w:r w:rsidRPr="00F261FB">
              <w:rPr>
                <w:noProof/>
                <w:lang w:eastAsia="en-GB"/>
              </w:rPr>
              <w:drawing>
                <wp:inline distT="0" distB="0" distL="0" distR="0">
                  <wp:extent cx="2273935" cy="1717675"/>
                  <wp:effectExtent l="0" t="0" r="0" b="0"/>
                  <wp:docPr id="2" name="Picture 2" descr="cid:image031.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1.jpg@01D53333.00B295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3935" cy="1717675"/>
                          </a:xfrm>
                          <a:prstGeom prst="rect">
                            <a:avLst/>
                          </a:prstGeom>
                          <a:noFill/>
                          <a:ln>
                            <a:noFill/>
                          </a:ln>
                        </pic:spPr>
                      </pic:pic>
                    </a:graphicData>
                  </a:graphic>
                </wp:inline>
              </w:drawing>
            </w:r>
          </w:p>
          <w:p w:rsidR="00F261FB" w:rsidRPr="00F261FB" w:rsidRDefault="00F261FB" w:rsidP="00F261FB"/>
          <w:p w:rsidR="00F261FB" w:rsidRPr="00F261FB" w:rsidRDefault="00F261FB" w:rsidP="00F261FB">
            <w:pPr>
              <w:rPr>
                <w:i/>
                <w:iCs/>
              </w:rPr>
            </w:pPr>
            <w:r w:rsidRPr="00F261FB">
              <w:t xml:space="preserve">            </w:t>
            </w:r>
            <w:proofErr w:type="gramStart"/>
            <w:r w:rsidRPr="00F261FB">
              <w:rPr>
                <w:i/>
                <w:iCs/>
              </w:rPr>
              <w:t>we</w:t>
            </w:r>
            <w:r w:rsidR="005A571A">
              <w:rPr>
                <w:i/>
                <w:iCs/>
              </w:rPr>
              <w:t>st</w:t>
            </w:r>
            <w:proofErr w:type="gramEnd"/>
            <w:r w:rsidR="005A571A">
              <w:rPr>
                <w:i/>
                <w:iCs/>
              </w:rPr>
              <w:t xml:space="preserve"> edge of the woodland- again </w:t>
            </w:r>
            <w:r w:rsidRPr="00F261FB">
              <w:rPr>
                <w:i/>
                <w:iCs/>
              </w:rPr>
              <w:t xml:space="preserve">as above this needs a better response. </w:t>
            </w:r>
          </w:p>
          <w:p w:rsidR="00F261FB" w:rsidRPr="00F261FB" w:rsidRDefault="00F261FB" w:rsidP="00F261FB"/>
          <w:p w:rsidR="00F261FB" w:rsidRPr="00F261FB" w:rsidRDefault="00F261FB" w:rsidP="00F261FB">
            <w:r w:rsidRPr="00F261FB">
              <w:t xml:space="preserve">See </w:t>
            </w:r>
            <w:r w:rsidR="005A571A">
              <w:t>the</w:t>
            </w:r>
            <w:r w:rsidRPr="00F261FB">
              <w:t xml:space="preserve"> </w:t>
            </w:r>
            <w:proofErr w:type="gramStart"/>
            <w:r w:rsidRPr="00F261FB">
              <w:t>sketch  in</w:t>
            </w:r>
            <w:proofErr w:type="gramEnd"/>
            <w:r w:rsidRPr="00F261FB">
              <w:t xml:space="preserve"> full below to avoid confusion, obviously it is an illustration only. </w:t>
            </w:r>
          </w:p>
          <w:p w:rsidR="00F261FB" w:rsidRPr="00F261FB" w:rsidRDefault="00F261FB" w:rsidP="00F261FB"/>
          <w:p w:rsidR="00F261FB" w:rsidRPr="00F261FB" w:rsidRDefault="00F261FB" w:rsidP="00F261FB">
            <w:r w:rsidRPr="00F261FB">
              <w:rPr>
                <w:noProof/>
                <w:lang w:eastAsia="en-GB"/>
              </w:rPr>
              <w:drawing>
                <wp:inline distT="0" distB="0" distL="0" distR="0">
                  <wp:extent cx="5783519" cy="4508390"/>
                  <wp:effectExtent l="0" t="0" r="8255" b="6985"/>
                  <wp:docPr id="1" name="Picture 1" descr="cid:image033.jpg@01D53333.00B29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33.jpg@01D53333.00B295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3874" cy="4508667"/>
                          </a:xfrm>
                          <a:prstGeom prst="rect">
                            <a:avLst/>
                          </a:prstGeom>
                          <a:noFill/>
                          <a:ln>
                            <a:noFill/>
                          </a:ln>
                        </pic:spPr>
                      </pic:pic>
                    </a:graphicData>
                  </a:graphic>
                </wp:inline>
              </w:drawing>
            </w:r>
          </w:p>
          <w:p w:rsidR="00F261FB" w:rsidRPr="00F261FB" w:rsidRDefault="00F261FB" w:rsidP="00F261FB"/>
          <w:p w:rsidR="00F261FB" w:rsidRPr="00F261FB" w:rsidRDefault="00F261FB" w:rsidP="00F261FB"/>
          <w:p w:rsidR="00F261FB" w:rsidRPr="00F261FB" w:rsidRDefault="00F261FB" w:rsidP="00F261FB">
            <w:r w:rsidRPr="00F261FB">
              <w:lastRenderedPageBreak/>
              <w:t>Amenity issues</w:t>
            </w:r>
          </w:p>
          <w:p w:rsidR="00F261FB" w:rsidRDefault="00F261FB" w:rsidP="00F261FB">
            <w:r w:rsidRPr="00F261FB">
              <w:t xml:space="preserve">The layout appears too crammed in the southern </w:t>
            </w:r>
            <w:proofErr w:type="gramStart"/>
            <w:r w:rsidRPr="00F261FB">
              <w:t>corner  where</w:t>
            </w:r>
            <w:proofErr w:type="gramEnd"/>
            <w:r w:rsidRPr="00F261FB">
              <w:t xml:space="preserve"> the affordable units are located, particularly as the levels are very challenging in the this location and there are likely to be retaining structures and significant slopes which </w:t>
            </w:r>
            <w:r w:rsidR="005A571A">
              <w:t>do not appear on the plans</w:t>
            </w:r>
            <w:r w:rsidRPr="00F261FB">
              <w:t xml:space="preserve"> at this stage.   Plot 60 has an excessively small irregular shaped garden and this property would overlook plots 55/56. Some of the plots have little defensible space to the front and provision does not appear to have been made for footpath connections to the front door and bin storage</w:t>
            </w:r>
            <w:r w:rsidR="005A571A">
              <w:t xml:space="preserve"> at the front</w:t>
            </w:r>
            <w:r w:rsidRPr="00F261FB">
              <w:t xml:space="preserve"> </w:t>
            </w:r>
            <w:r w:rsidR="005A571A" w:rsidRPr="005A571A">
              <w:t>where there is no separate path to the rear garden</w:t>
            </w:r>
            <w:r w:rsidR="005A571A">
              <w:t>,</w:t>
            </w:r>
            <w:r w:rsidR="005A571A" w:rsidRPr="005A571A">
              <w:t xml:space="preserve"> </w:t>
            </w:r>
            <w:r w:rsidR="005A571A">
              <w:t>(3 bins in Sheffield).</w:t>
            </w:r>
            <w:r w:rsidRPr="00F261FB">
              <w:t xml:space="preserve"> </w:t>
            </w:r>
          </w:p>
          <w:p w:rsidR="00F261FB" w:rsidRDefault="005A571A" w:rsidP="00F261FB">
            <w:r>
              <w:t>O</w:t>
            </w:r>
            <w:r w:rsidR="00F261FB" w:rsidRPr="00F261FB">
              <w:t xml:space="preserve">ther plots with overlooking issues that need addressing are plots 40/49, 8/7. </w:t>
            </w:r>
          </w:p>
          <w:p w:rsidR="005A571A" w:rsidRDefault="005A571A" w:rsidP="00F261FB">
            <w:r>
              <w:t>Highways and Ecology response</w:t>
            </w:r>
            <w:r w:rsidR="00335A84">
              <w:t>s are</w:t>
            </w:r>
            <w:r>
              <w:t xml:space="preserve"> to follow </w:t>
            </w:r>
            <w:r w:rsidR="00335A84">
              <w:t>when officers have had time to review the amended scheme.</w:t>
            </w:r>
          </w:p>
          <w:p w:rsidR="005A571A" w:rsidRDefault="00CF468B" w:rsidP="00F261FB">
            <w:r>
              <w:t>Open Space Provision</w:t>
            </w:r>
          </w:p>
          <w:p w:rsidR="00CF468B" w:rsidRPr="00F261FB" w:rsidRDefault="00CF468B" w:rsidP="00F261FB">
            <w:r>
              <w:t>It is noted that the latest layout removes the play area from the site following discussion with the Council that this and MUGA would be best located together on land to the south of site C.  I believe your client has accepted the desire to provide the whole of the play provision together at an early stage of the development in order to</w:t>
            </w:r>
            <w:r w:rsidR="008F663B">
              <w:t xml:space="preserve"> achieve the best community outcome,</w:t>
            </w:r>
            <w:r w:rsidR="000D4521">
              <w:t xml:space="preserve"> to avoid delays if it were</w:t>
            </w:r>
            <w:r w:rsidR="008F663B">
              <w:t xml:space="preserve"> reliant on contributions from later phases of housing and to help ease the passage of the scheme with the community.  I understand it is intended to include the park/play provision within the red line boundary for site E and it is accepted that conditions will be attached </w:t>
            </w:r>
            <w:r w:rsidR="000D4521">
              <w:t>(</w:t>
            </w:r>
            <w:r w:rsidR="008F663B">
              <w:t xml:space="preserve">which will </w:t>
            </w:r>
            <w:r w:rsidR="000D4521">
              <w:t xml:space="preserve">be the subject of future discussions) </w:t>
            </w:r>
            <w:r w:rsidR="008F663B">
              <w:t xml:space="preserve">regarding the delivery and content of the </w:t>
            </w:r>
            <w:r w:rsidR="000D4521">
              <w:t xml:space="preserve">open </w:t>
            </w:r>
            <w:r w:rsidR="00BB33F4">
              <w:t xml:space="preserve">space </w:t>
            </w:r>
            <w:r w:rsidR="008F663B">
              <w:t xml:space="preserve">scheme.  We support this approach but consider that it is important residents have some information on what is proposed.  Ideally we would like to see a masterplan for the open space area </w:t>
            </w:r>
            <w:r w:rsidR="000D4521">
              <w:t xml:space="preserve">so </w:t>
            </w:r>
            <w:r w:rsidR="008F663B">
              <w:t xml:space="preserve">that we could perhaps approve </w:t>
            </w:r>
            <w:r w:rsidR="000D4521">
              <w:t>a</w:t>
            </w:r>
            <w:r w:rsidR="008F663B">
              <w:t xml:space="preserve"> set</w:t>
            </w:r>
            <w:r w:rsidR="000D4521">
              <w:t xml:space="preserve"> of</w:t>
            </w:r>
            <w:r w:rsidR="008F663B">
              <w:t xml:space="preserve"> principles for the detailed design of the open space area</w:t>
            </w:r>
            <w:r w:rsidR="000D4521">
              <w:t xml:space="preserve"> as part of the site E application</w:t>
            </w:r>
            <w:r w:rsidR="008F663B">
              <w:t xml:space="preserve">.  I understand that property are exploring ways in which a piece of work can be </w:t>
            </w:r>
            <w:r w:rsidR="000D4521">
              <w:t>brought forward</w:t>
            </w:r>
            <w:r w:rsidR="008F663B">
              <w:t xml:space="preserve"> which will help to define these principles which would also establish </w:t>
            </w:r>
            <w:r w:rsidR="00BB33F4">
              <w:t>principles for overlooking,</w:t>
            </w:r>
            <w:r w:rsidR="008F663B">
              <w:t xml:space="preserve"> views</w:t>
            </w:r>
            <w:r w:rsidR="00BB33F4">
              <w:t xml:space="preserve"> of the site</w:t>
            </w:r>
            <w:r w:rsidR="008F663B">
              <w:t xml:space="preserve">, connections </w:t>
            </w:r>
            <w:proofErr w:type="spellStart"/>
            <w:r w:rsidR="00BB33F4">
              <w:t>etc</w:t>
            </w:r>
            <w:proofErr w:type="spellEnd"/>
            <w:r w:rsidR="00BB33F4">
              <w:t xml:space="preserve"> </w:t>
            </w:r>
            <w:r w:rsidR="008F663B">
              <w:t xml:space="preserve">which would guide </w:t>
            </w:r>
            <w:r w:rsidR="000D4521">
              <w:t xml:space="preserve">the future </w:t>
            </w:r>
            <w:r w:rsidR="008F663B">
              <w:t>development on site C.</w:t>
            </w:r>
            <w:r w:rsidR="000D4521">
              <w:t xml:space="preserve">  Ideally this work should input to the submission of a draft layout for the open space area which is submitted in support of the application for site E.  This would help to show residents what to expect particularly those of the nearest housing (</w:t>
            </w:r>
            <w:proofErr w:type="spellStart"/>
            <w:r w:rsidR="000D4521">
              <w:t>Moorthrope</w:t>
            </w:r>
            <w:proofErr w:type="spellEnd"/>
            <w:r w:rsidR="000D4521">
              <w:t xml:space="preserve"> Dell).  If the application for site E just shows a red line around the open space area with no detail this is likely to </w:t>
            </w:r>
            <w:r w:rsidR="00BB33F4">
              <w:t xml:space="preserve">fuel speculation by </w:t>
            </w:r>
            <w:r w:rsidR="000D4521">
              <w:t>residents</w:t>
            </w:r>
            <w:r w:rsidR="00BB33F4">
              <w:t xml:space="preserve"> of the worst case option</w:t>
            </w:r>
            <w:r w:rsidR="000D4521">
              <w:t xml:space="preserve">.  </w:t>
            </w:r>
          </w:p>
          <w:p w:rsidR="00F261FB" w:rsidRDefault="00F5693E" w:rsidP="00F261FB">
            <w:pPr>
              <w:rPr>
                <w:bCs/>
                <w:iCs/>
              </w:rPr>
            </w:pPr>
            <w:r>
              <w:rPr>
                <w:bCs/>
                <w:iCs/>
              </w:rPr>
              <w:t>Affordable Housing</w:t>
            </w:r>
          </w:p>
          <w:p w:rsidR="00F5693E" w:rsidRPr="00F5693E" w:rsidRDefault="00F5693E" w:rsidP="00F261FB">
            <w:pPr>
              <w:rPr>
                <w:bCs/>
                <w:iCs/>
              </w:rPr>
            </w:pPr>
            <w:r>
              <w:rPr>
                <w:bCs/>
                <w:iCs/>
              </w:rPr>
              <w:t>Whilst I have not consulted housing colleagues again given the limited pre-app fee agreed for commenting on this latest layout I have noticed that the affordable units identified on the plan do not match those in the table and the number of smaller units and the overall number of units has reduced.  I would draw you attention to the previous advice regarding the affordable housing units.</w:t>
            </w:r>
            <w:bookmarkStart w:id="0" w:name="_GoBack"/>
            <w:bookmarkEnd w:id="0"/>
          </w:p>
          <w:p w:rsidR="009D6D34" w:rsidRPr="00743337" w:rsidRDefault="009D6D34" w:rsidP="009D6D34"/>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hideMark/>
          </w:tcPr>
          <w:p w:rsidR="00E935BE" w:rsidRPr="00743337" w:rsidRDefault="00E935BE" w:rsidP="008F3441">
            <w:pPr>
              <w:ind w:left="360"/>
            </w:pPr>
          </w:p>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110E69" w:rsidRPr="00743337" w:rsidRDefault="00110E69" w:rsidP="00EC699D"/>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B42279" w:rsidRPr="00743337" w:rsidRDefault="00B42279" w:rsidP="00900947"/>
        </w:tc>
      </w:tr>
      <w:tr w:rsidR="00743337" w:rsidRPr="00743337" w:rsidTr="00F11B79">
        <w:tc>
          <w:tcPr>
            <w:tcW w:w="9639" w:type="dxa"/>
            <w:gridSpan w:val="2"/>
            <w:tcBorders>
              <w:top w:val="single" w:sz="4" w:space="0" w:color="auto"/>
              <w:left w:val="single" w:sz="4" w:space="0" w:color="auto"/>
              <w:bottom w:val="single" w:sz="4" w:space="0" w:color="auto"/>
              <w:right w:val="single" w:sz="4" w:space="0" w:color="auto"/>
            </w:tcBorders>
          </w:tcPr>
          <w:p w:rsidR="000776F1" w:rsidRPr="00743337" w:rsidRDefault="000776F1" w:rsidP="00F261FB">
            <w:pPr>
              <w:ind w:left="360"/>
            </w:pPr>
          </w:p>
        </w:tc>
      </w:tr>
    </w:tbl>
    <w:p w:rsidR="00743337" w:rsidRPr="00743337" w:rsidRDefault="00743337" w:rsidP="00743337">
      <w:pP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743337" w:rsidRPr="00743337" w:rsidTr="00F11B79">
        <w:tc>
          <w:tcPr>
            <w:tcW w:w="4536" w:type="dxa"/>
            <w:tcBorders>
              <w:top w:val="single" w:sz="4" w:space="0" w:color="auto"/>
              <w:left w:val="single" w:sz="4" w:space="0" w:color="auto"/>
              <w:bottom w:val="single" w:sz="4" w:space="0" w:color="auto"/>
              <w:right w:val="single" w:sz="4" w:space="0" w:color="auto"/>
            </w:tcBorders>
          </w:tcPr>
          <w:p w:rsidR="00743337" w:rsidRPr="00743337" w:rsidRDefault="00743337" w:rsidP="00743337">
            <w:pPr>
              <w:rPr>
                <w:b/>
                <w:bCs/>
              </w:rPr>
            </w:pPr>
            <w:r w:rsidRPr="00743337">
              <w:rPr>
                <w:b/>
                <w:bCs/>
              </w:rPr>
              <w:t>Case officer:</w:t>
            </w:r>
            <w:r w:rsidR="005322BC">
              <w:rPr>
                <w:b/>
                <w:bCs/>
              </w:rPr>
              <w:t xml:space="preserve">  Howard Baxter</w:t>
            </w:r>
          </w:p>
          <w:p w:rsidR="00743337" w:rsidRPr="00743337" w:rsidRDefault="00743337" w:rsidP="00743337"/>
        </w:tc>
        <w:tc>
          <w:tcPr>
            <w:tcW w:w="5103" w:type="dxa"/>
            <w:tcBorders>
              <w:top w:val="single" w:sz="4" w:space="0" w:color="auto"/>
              <w:left w:val="single" w:sz="4" w:space="0" w:color="auto"/>
              <w:bottom w:val="single" w:sz="4" w:space="0" w:color="auto"/>
              <w:right w:val="single" w:sz="4" w:space="0" w:color="auto"/>
            </w:tcBorders>
            <w:hideMark/>
          </w:tcPr>
          <w:p w:rsidR="00743337" w:rsidRPr="00743337" w:rsidRDefault="005D3087" w:rsidP="00F261FB">
            <w:r>
              <w:rPr>
                <w:b/>
                <w:bCs/>
              </w:rPr>
              <w:t xml:space="preserve">Date  </w:t>
            </w:r>
            <w:r w:rsidR="00F261FB">
              <w:rPr>
                <w:b/>
                <w:bCs/>
              </w:rPr>
              <w:t>11</w:t>
            </w:r>
            <w:r w:rsidR="006015BE">
              <w:rPr>
                <w:b/>
                <w:bCs/>
              </w:rPr>
              <w:t>.</w:t>
            </w:r>
            <w:r w:rsidR="00110E69">
              <w:rPr>
                <w:b/>
                <w:bCs/>
              </w:rPr>
              <w:t>0</w:t>
            </w:r>
            <w:r w:rsidR="00F261FB">
              <w:rPr>
                <w:b/>
                <w:bCs/>
              </w:rPr>
              <w:t>7</w:t>
            </w:r>
            <w:r w:rsidR="006015BE">
              <w:rPr>
                <w:b/>
                <w:bCs/>
              </w:rPr>
              <w:t>.</w:t>
            </w:r>
            <w:r w:rsidR="00110E69">
              <w:rPr>
                <w:b/>
                <w:bCs/>
              </w:rPr>
              <w:t>19</w:t>
            </w:r>
          </w:p>
        </w:tc>
      </w:tr>
    </w:tbl>
    <w:p w:rsidR="00743337" w:rsidRPr="00743337" w:rsidRDefault="00743337" w:rsidP="00743337">
      <w:r w:rsidRPr="00743337">
        <w:t xml:space="preserve">  </w:t>
      </w:r>
    </w:p>
    <w:p w:rsidR="00743337" w:rsidRPr="00743337" w:rsidRDefault="00743337" w:rsidP="00743337"/>
    <w:p w:rsidR="0037456B" w:rsidRDefault="0037456B"/>
    <w:sectPr w:rsidR="003745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59" w:rsidRDefault="00E77E59" w:rsidP="00743337">
      <w:pPr>
        <w:spacing w:after="0" w:line="240" w:lineRule="auto"/>
      </w:pPr>
      <w:r>
        <w:separator/>
      </w:r>
    </w:p>
  </w:endnote>
  <w:endnote w:type="continuationSeparator" w:id="0">
    <w:p w:rsidR="00E77E59" w:rsidRDefault="00E77E59" w:rsidP="0074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59" w:rsidRDefault="00E77E59" w:rsidP="00743337">
      <w:pPr>
        <w:spacing w:after="0" w:line="240" w:lineRule="auto"/>
      </w:pPr>
      <w:r>
        <w:separator/>
      </w:r>
    </w:p>
  </w:footnote>
  <w:footnote w:type="continuationSeparator" w:id="0">
    <w:p w:rsidR="00E77E59" w:rsidRDefault="00E77E59" w:rsidP="00743337">
      <w:pPr>
        <w:spacing w:after="0" w:line="240" w:lineRule="auto"/>
      </w:pPr>
      <w:r>
        <w:continuationSeparator/>
      </w:r>
    </w:p>
  </w:footnote>
  <w:footnote w:id="1">
    <w:p w:rsidR="00743337" w:rsidRDefault="00743337" w:rsidP="00743337">
      <w:pPr>
        <w:pStyle w:val="FootnoteText"/>
        <w:outlineLvl w:val="0"/>
        <w:rPr>
          <w:rFonts w:ascii="Arial" w:hAnsi="Arial" w:cs="Arial"/>
        </w:rPr>
      </w:pPr>
      <w:r>
        <w:rPr>
          <w:rStyle w:val="FootnoteReference"/>
          <w:rFonts w:ascii="Arial" w:hAnsi="Arial" w:cs="Arial"/>
        </w:rPr>
        <w:footnoteRef/>
      </w:r>
      <w:r>
        <w:rPr>
          <w:rFonts w:ascii="Arial" w:hAnsi="Arial" w:cs="Arial"/>
        </w:rPr>
        <w:t xml:space="preserve"> NB The views given will be current at the time of giving advice, but changes in planning circumstances can occur and will need to be taken into account when any subsequent application is submitted.  These views are also given without prejudice to any eventual Committee decision on an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6F3"/>
    <w:multiLevelType w:val="hybridMultilevel"/>
    <w:tmpl w:val="32A07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0B17F90"/>
    <w:multiLevelType w:val="hybridMultilevel"/>
    <w:tmpl w:val="74FA3DAC"/>
    <w:lvl w:ilvl="0" w:tplc="E52424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4752B"/>
    <w:multiLevelType w:val="hybridMultilevel"/>
    <w:tmpl w:val="32707396"/>
    <w:lvl w:ilvl="0" w:tplc="1B1A34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324282"/>
    <w:multiLevelType w:val="hybridMultilevel"/>
    <w:tmpl w:val="B40E2592"/>
    <w:lvl w:ilvl="0" w:tplc="28F0F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96905"/>
    <w:multiLevelType w:val="hybridMultilevel"/>
    <w:tmpl w:val="B240D1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52BF341C"/>
    <w:multiLevelType w:val="hybridMultilevel"/>
    <w:tmpl w:val="8814D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50E1616"/>
    <w:multiLevelType w:val="hybridMultilevel"/>
    <w:tmpl w:val="BE7ADA38"/>
    <w:lvl w:ilvl="0" w:tplc="307EB754">
      <w:start w:val="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37"/>
    <w:rsid w:val="00011121"/>
    <w:rsid w:val="00015FCD"/>
    <w:rsid w:val="0002338C"/>
    <w:rsid w:val="00026551"/>
    <w:rsid w:val="0003644C"/>
    <w:rsid w:val="00071D3B"/>
    <w:rsid w:val="000776F1"/>
    <w:rsid w:val="00085B84"/>
    <w:rsid w:val="000A0529"/>
    <w:rsid w:val="000A3D9C"/>
    <w:rsid w:val="000A44CF"/>
    <w:rsid w:val="000A6374"/>
    <w:rsid w:val="000A73AF"/>
    <w:rsid w:val="000B7C94"/>
    <w:rsid w:val="000D4521"/>
    <w:rsid w:val="000D6AF3"/>
    <w:rsid w:val="000F3ABC"/>
    <w:rsid w:val="001004DC"/>
    <w:rsid w:val="001024D9"/>
    <w:rsid w:val="00110D90"/>
    <w:rsid w:val="00110E69"/>
    <w:rsid w:val="0011575D"/>
    <w:rsid w:val="00116CB0"/>
    <w:rsid w:val="00126F36"/>
    <w:rsid w:val="00142A2C"/>
    <w:rsid w:val="00163245"/>
    <w:rsid w:val="001E124F"/>
    <w:rsid w:val="001E162C"/>
    <w:rsid w:val="001F0EC5"/>
    <w:rsid w:val="00214DD4"/>
    <w:rsid w:val="00243CC3"/>
    <w:rsid w:val="002459ED"/>
    <w:rsid w:val="002B5329"/>
    <w:rsid w:val="002C7118"/>
    <w:rsid w:val="002D009B"/>
    <w:rsid w:val="002E295C"/>
    <w:rsid w:val="00307255"/>
    <w:rsid w:val="00326E3C"/>
    <w:rsid w:val="0032779B"/>
    <w:rsid w:val="00331887"/>
    <w:rsid w:val="00335A84"/>
    <w:rsid w:val="00366074"/>
    <w:rsid w:val="00370901"/>
    <w:rsid w:val="00371169"/>
    <w:rsid w:val="00372D93"/>
    <w:rsid w:val="0037456B"/>
    <w:rsid w:val="003A523C"/>
    <w:rsid w:val="003A5674"/>
    <w:rsid w:val="003B32D7"/>
    <w:rsid w:val="003F1BC5"/>
    <w:rsid w:val="00451D8E"/>
    <w:rsid w:val="0045475D"/>
    <w:rsid w:val="00463CA5"/>
    <w:rsid w:val="0047423B"/>
    <w:rsid w:val="00480341"/>
    <w:rsid w:val="00480BCC"/>
    <w:rsid w:val="00495313"/>
    <w:rsid w:val="004A1420"/>
    <w:rsid w:val="004B59B4"/>
    <w:rsid w:val="004B5FE6"/>
    <w:rsid w:val="004D3EF5"/>
    <w:rsid w:val="004D40B8"/>
    <w:rsid w:val="004D5D69"/>
    <w:rsid w:val="004F41C4"/>
    <w:rsid w:val="00514E05"/>
    <w:rsid w:val="005169B8"/>
    <w:rsid w:val="0052781C"/>
    <w:rsid w:val="005322BC"/>
    <w:rsid w:val="00544547"/>
    <w:rsid w:val="005646DD"/>
    <w:rsid w:val="00567AFC"/>
    <w:rsid w:val="0059481A"/>
    <w:rsid w:val="005A571A"/>
    <w:rsid w:val="005A607A"/>
    <w:rsid w:val="005B0153"/>
    <w:rsid w:val="005C0C8C"/>
    <w:rsid w:val="005C5A6C"/>
    <w:rsid w:val="005D3087"/>
    <w:rsid w:val="005E4631"/>
    <w:rsid w:val="005F2C97"/>
    <w:rsid w:val="006015BE"/>
    <w:rsid w:val="00607C6C"/>
    <w:rsid w:val="00612C43"/>
    <w:rsid w:val="00632EE2"/>
    <w:rsid w:val="00635124"/>
    <w:rsid w:val="00635458"/>
    <w:rsid w:val="00635873"/>
    <w:rsid w:val="00652BE3"/>
    <w:rsid w:val="006C0564"/>
    <w:rsid w:val="006D4CBD"/>
    <w:rsid w:val="006E0668"/>
    <w:rsid w:val="006F0341"/>
    <w:rsid w:val="00700323"/>
    <w:rsid w:val="00724264"/>
    <w:rsid w:val="007256C4"/>
    <w:rsid w:val="0073055A"/>
    <w:rsid w:val="00741AB2"/>
    <w:rsid w:val="00743337"/>
    <w:rsid w:val="00753E58"/>
    <w:rsid w:val="007A3C7F"/>
    <w:rsid w:val="007A7976"/>
    <w:rsid w:val="007B31ED"/>
    <w:rsid w:val="007C5CEF"/>
    <w:rsid w:val="007F2EB4"/>
    <w:rsid w:val="007F654F"/>
    <w:rsid w:val="007F781C"/>
    <w:rsid w:val="0081212A"/>
    <w:rsid w:val="00832C83"/>
    <w:rsid w:val="008657FA"/>
    <w:rsid w:val="0086581C"/>
    <w:rsid w:val="008665CD"/>
    <w:rsid w:val="00872F4E"/>
    <w:rsid w:val="00882F4C"/>
    <w:rsid w:val="008961C8"/>
    <w:rsid w:val="008B33DE"/>
    <w:rsid w:val="008F1BDD"/>
    <w:rsid w:val="008F3441"/>
    <w:rsid w:val="008F663B"/>
    <w:rsid w:val="00900947"/>
    <w:rsid w:val="00902191"/>
    <w:rsid w:val="00902622"/>
    <w:rsid w:val="00905D4F"/>
    <w:rsid w:val="00942566"/>
    <w:rsid w:val="00944499"/>
    <w:rsid w:val="00945268"/>
    <w:rsid w:val="00947FC5"/>
    <w:rsid w:val="00951962"/>
    <w:rsid w:val="00957BD2"/>
    <w:rsid w:val="00966E84"/>
    <w:rsid w:val="0097752C"/>
    <w:rsid w:val="00986E6E"/>
    <w:rsid w:val="009934B0"/>
    <w:rsid w:val="009C2DA7"/>
    <w:rsid w:val="009D43A0"/>
    <w:rsid w:val="009D6D34"/>
    <w:rsid w:val="009F425D"/>
    <w:rsid w:val="00A03591"/>
    <w:rsid w:val="00A101F8"/>
    <w:rsid w:val="00A23EE5"/>
    <w:rsid w:val="00A426BD"/>
    <w:rsid w:val="00A44E25"/>
    <w:rsid w:val="00A46EFB"/>
    <w:rsid w:val="00A57249"/>
    <w:rsid w:val="00A722E9"/>
    <w:rsid w:val="00A7301E"/>
    <w:rsid w:val="00A759C4"/>
    <w:rsid w:val="00A777D9"/>
    <w:rsid w:val="00A81FBE"/>
    <w:rsid w:val="00A91AEF"/>
    <w:rsid w:val="00A955D3"/>
    <w:rsid w:val="00AA5168"/>
    <w:rsid w:val="00AA634D"/>
    <w:rsid w:val="00AB5DC9"/>
    <w:rsid w:val="00AC30D8"/>
    <w:rsid w:val="00AD154E"/>
    <w:rsid w:val="00AD7E13"/>
    <w:rsid w:val="00B203DD"/>
    <w:rsid w:val="00B42279"/>
    <w:rsid w:val="00B56DC0"/>
    <w:rsid w:val="00B723AF"/>
    <w:rsid w:val="00BB33F4"/>
    <w:rsid w:val="00BD21DC"/>
    <w:rsid w:val="00C06FE5"/>
    <w:rsid w:val="00C27E8B"/>
    <w:rsid w:val="00C37685"/>
    <w:rsid w:val="00C67966"/>
    <w:rsid w:val="00C70209"/>
    <w:rsid w:val="00C91239"/>
    <w:rsid w:val="00C97A87"/>
    <w:rsid w:val="00CA4151"/>
    <w:rsid w:val="00CC5A3A"/>
    <w:rsid w:val="00CE4684"/>
    <w:rsid w:val="00CF39B8"/>
    <w:rsid w:val="00CF468B"/>
    <w:rsid w:val="00D06CA1"/>
    <w:rsid w:val="00D22F40"/>
    <w:rsid w:val="00D436E7"/>
    <w:rsid w:val="00D77BAE"/>
    <w:rsid w:val="00DC506C"/>
    <w:rsid w:val="00DC7C29"/>
    <w:rsid w:val="00E22984"/>
    <w:rsid w:val="00E63A61"/>
    <w:rsid w:val="00E7183F"/>
    <w:rsid w:val="00E77E59"/>
    <w:rsid w:val="00E83EDB"/>
    <w:rsid w:val="00E935BE"/>
    <w:rsid w:val="00EA0E7F"/>
    <w:rsid w:val="00EA12E3"/>
    <w:rsid w:val="00EC699D"/>
    <w:rsid w:val="00ED5714"/>
    <w:rsid w:val="00ED7D26"/>
    <w:rsid w:val="00EE39CA"/>
    <w:rsid w:val="00F261FB"/>
    <w:rsid w:val="00F3565F"/>
    <w:rsid w:val="00F43B78"/>
    <w:rsid w:val="00F43F29"/>
    <w:rsid w:val="00F44EE8"/>
    <w:rsid w:val="00F5693E"/>
    <w:rsid w:val="00F70322"/>
    <w:rsid w:val="00F7798B"/>
    <w:rsid w:val="00F77A28"/>
    <w:rsid w:val="00F909DD"/>
    <w:rsid w:val="00FA3BD3"/>
    <w:rsid w:val="00FA4022"/>
    <w:rsid w:val="00FA4CA9"/>
    <w:rsid w:val="00FC1225"/>
    <w:rsid w:val="00FC55A1"/>
    <w:rsid w:val="00FE6D04"/>
    <w:rsid w:val="00FF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433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3337"/>
    <w:rPr>
      <w:rFonts w:ascii="Times New Roman" w:eastAsia="Times New Roman" w:hAnsi="Times New Roman" w:cs="Times New Roman"/>
      <w:sz w:val="20"/>
      <w:szCs w:val="20"/>
    </w:rPr>
  </w:style>
  <w:style w:type="character" w:styleId="FootnoteReference">
    <w:name w:val="footnote reference"/>
    <w:semiHidden/>
    <w:unhideWhenUsed/>
    <w:rsid w:val="00743337"/>
    <w:rPr>
      <w:vertAlign w:val="superscript"/>
    </w:rPr>
  </w:style>
  <w:style w:type="paragraph" w:styleId="ListParagraph">
    <w:name w:val="List Paragraph"/>
    <w:basedOn w:val="Normal"/>
    <w:uiPriority w:val="34"/>
    <w:qFormat/>
    <w:rsid w:val="008657FA"/>
    <w:pPr>
      <w:ind w:left="720"/>
      <w:contextualSpacing/>
    </w:pPr>
  </w:style>
  <w:style w:type="character" w:styleId="Hyperlink">
    <w:name w:val="Hyperlink"/>
    <w:basedOn w:val="DefaultParagraphFont"/>
    <w:uiPriority w:val="99"/>
    <w:unhideWhenUsed/>
    <w:rsid w:val="00E63A61"/>
    <w:rPr>
      <w:color w:val="0000FF" w:themeColor="hyperlink"/>
      <w:u w:val="single"/>
    </w:rPr>
  </w:style>
  <w:style w:type="paragraph" w:styleId="BalloonText">
    <w:name w:val="Balloon Text"/>
    <w:basedOn w:val="Normal"/>
    <w:link w:val="BalloonTextChar"/>
    <w:uiPriority w:val="99"/>
    <w:semiHidden/>
    <w:unhideWhenUsed/>
    <w:rsid w:val="00370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433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3337"/>
    <w:rPr>
      <w:rFonts w:ascii="Times New Roman" w:eastAsia="Times New Roman" w:hAnsi="Times New Roman" w:cs="Times New Roman"/>
      <w:sz w:val="20"/>
      <w:szCs w:val="20"/>
    </w:rPr>
  </w:style>
  <w:style w:type="character" w:styleId="FootnoteReference">
    <w:name w:val="footnote reference"/>
    <w:semiHidden/>
    <w:unhideWhenUsed/>
    <w:rsid w:val="00743337"/>
    <w:rPr>
      <w:vertAlign w:val="superscript"/>
    </w:rPr>
  </w:style>
  <w:style w:type="paragraph" w:styleId="ListParagraph">
    <w:name w:val="List Paragraph"/>
    <w:basedOn w:val="Normal"/>
    <w:uiPriority w:val="34"/>
    <w:qFormat/>
    <w:rsid w:val="008657FA"/>
    <w:pPr>
      <w:ind w:left="720"/>
      <w:contextualSpacing/>
    </w:pPr>
  </w:style>
  <w:style w:type="character" w:styleId="Hyperlink">
    <w:name w:val="Hyperlink"/>
    <w:basedOn w:val="DefaultParagraphFont"/>
    <w:uiPriority w:val="99"/>
    <w:unhideWhenUsed/>
    <w:rsid w:val="00E63A61"/>
    <w:rPr>
      <w:color w:val="0000FF" w:themeColor="hyperlink"/>
      <w:u w:val="single"/>
    </w:rPr>
  </w:style>
  <w:style w:type="paragraph" w:styleId="BalloonText">
    <w:name w:val="Balloon Text"/>
    <w:basedOn w:val="Normal"/>
    <w:link w:val="BalloonTextChar"/>
    <w:uiPriority w:val="99"/>
    <w:semiHidden/>
    <w:unhideWhenUsed/>
    <w:rsid w:val="00370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9194">
      <w:bodyDiv w:val="1"/>
      <w:marLeft w:val="0"/>
      <w:marRight w:val="0"/>
      <w:marTop w:val="0"/>
      <w:marBottom w:val="0"/>
      <w:divBdr>
        <w:top w:val="none" w:sz="0" w:space="0" w:color="auto"/>
        <w:left w:val="none" w:sz="0" w:space="0" w:color="auto"/>
        <w:bottom w:val="none" w:sz="0" w:space="0" w:color="auto"/>
        <w:right w:val="none" w:sz="0" w:space="0" w:color="auto"/>
      </w:divBdr>
    </w:div>
    <w:div w:id="17057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Howard</dc:creator>
  <cp:lastModifiedBy>Baxter Howard</cp:lastModifiedBy>
  <cp:revision>4</cp:revision>
  <cp:lastPrinted>2019-06-03T13:02:00Z</cp:lastPrinted>
  <dcterms:created xsi:type="dcterms:W3CDTF">2019-07-12T08:49:00Z</dcterms:created>
  <dcterms:modified xsi:type="dcterms:W3CDTF">2019-07-15T15:38:00Z</dcterms:modified>
</cp:coreProperties>
</file>